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pPr>
      <w:r w:rsidDel="00000000" w:rsidR="00000000" w:rsidRPr="00000000">
        <w:rPr>
          <w:rtl w:val="0"/>
        </w:rPr>
        <w:t xml:space="preserve"> </w:t>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line="276" w:lineRule="auto"/>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1933575</wp:posOffset>
                      </wp:positionH>
                      <wp:positionV relativeFrom="paragraph">
                        <wp:posOffset>117476</wp:posOffset>
                      </wp:positionV>
                      <wp:extent cx="247015" cy="238125"/>
                      <wp:effectExtent b="0" l="0" r="0" t="0"/>
                      <wp:wrapNone/>
                      <wp:docPr id="1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1933575</wp:posOffset>
                      </wp:positionH>
                      <wp:positionV relativeFrom="paragraph">
                        <wp:posOffset>117476</wp:posOffset>
                      </wp:positionV>
                      <wp:extent cx="247015" cy="238125"/>
                      <wp:effectExtent b="0" l="0" r="0" t="0"/>
                      <wp:wrapNone/>
                      <wp:docPr id="1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5438776</wp:posOffset>
                      </wp:positionH>
                      <wp:positionV relativeFrom="paragraph">
                        <wp:posOffset>117476</wp:posOffset>
                      </wp:positionV>
                      <wp:extent cx="247015" cy="238125"/>
                      <wp:effectExtent b="0" l="0" r="0" t="0"/>
                      <wp:wrapNone/>
                      <wp:docPr id="1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5438776</wp:posOffset>
                      </wp:positionH>
                      <wp:positionV relativeFrom="paragraph">
                        <wp:posOffset>117476</wp:posOffset>
                      </wp:positionV>
                      <wp:extent cx="247015" cy="238125"/>
                      <wp:effectExtent b="0" l="0" r="0" t="0"/>
                      <wp:wrapNone/>
                      <wp:docPr id="1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2</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line="276" w:lineRule="auto"/>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52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4162.010.26.1.5195-2025</w:t>
              <w:tab/>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sz w:val="24"/>
                <w:szCs w:val="24"/>
                <w:rtl w:val="0"/>
              </w:rPr>
              <w:t xml:space="preserve">EDWIN DAVID IBARGUEN BUENAVENTURA</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sz w:val="24"/>
                <w:szCs w:val="24"/>
                <w:rtl w:val="0"/>
              </w:rPr>
              <w:t xml:space="preserve">C.C. 1.151.938.113 de Cali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spacing w:line="276" w:lineRule="auto"/>
              <w:rPr>
                <w:rFonts w:ascii="Open Sans" w:cs="Open Sans" w:eastAsia="Open Sans" w:hAnsi="Open Sans"/>
                <w:b w:val="1"/>
                <w:bCs w:val="1"/>
                <w:color w:val="515151"/>
                <w:sz w:val="21"/>
                <w:szCs w:val="21"/>
                <w:highlight w:val="white"/>
              </w:rPr>
            </w:pPr>
            <w:r w:rsidDel="00000000" w:rsidR="00000000" w:rsidRPr="00000000">
              <w:rPr>
                <w:rFonts w:ascii="Arial" w:cs="Arial" w:eastAsia="Arial" w:hAnsi="Arial"/>
                <w:sz w:val="24"/>
                <w:szCs w:val="24"/>
                <w:rtl w:val="0"/>
              </w:rPr>
              <w:t xml:space="preserve">Nombre del supervisor: KRYSTHIAN DAVID RAMIREZ MUNEVAR  </w:t>
            </w:r>
            <w:r w:rsidDel="00000000" w:rsidR="00000000" w:rsidRPr="00000000">
              <w:rPr>
                <w:rtl w:val="0"/>
              </w:rPr>
            </w:r>
          </w:p>
          <w:p w:rsidR="00000000" w:rsidDel="00000000" w:rsidP="00000000" w:rsidRDefault="00000000" w:rsidRPr="00000000" w14:paraId="0000001F">
            <w:pPr>
              <w:spacing w:line="276" w:lineRule="auto"/>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2">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p w:rsidR="00000000" w:rsidDel="00000000" w:rsidP="00000000" w:rsidRDefault="00000000" w:rsidRPr="00000000" w14:paraId="00000023">
            <w:pPr>
              <w:spacing w:line="276" w:lineRule="auto"/>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line="276" w:lineRule="auto"/>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25/Nov/2025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8"/>
                <w:szCs w:val="8"/>
                <w:rtl w:val="0"/>
              </w:rPr>
              <w:t xml:space="preserve">                                                                           </w:t>
            </w:r>
            <w:r w:rsidDel="00000000" w:rsidR="00000000" w:rsidRPr="00000000">
              <w:rPr>
                <w:rFonts w:ascii="Arial" w:cs="Arial" w:eastAsia="Arial" w:hAnsi="Arial"/>
                <w:color w:val="000000"/>
                <w:sz w:val="24"/>
                <w:szCs w:val="24"/>
                <w:rtl w:val="0"/>
              </w:rPr>
              <w:t xml:space="preserve">31/Dic/2025</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6"/>
                <w:szCs w:val="16"/>
                <w:highlight w:val="yellow"/>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N/A</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line="276" w:lineRule="auto"/>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tc>
      </w:tr>
      <w:tr>
        <w:trPr>
          <w:cantSplit w:val="0"/>
          <w:trHeight w:val="41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Valor inicial del contrato: Es hasta por la suma de SEIS MILLONES OCHOCIENTOS VEINTIOCHO MIL PESOS M/CTE ($6.828.000).</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720" w:firstLine="0"/>
              <w:jc w:val="both"/>
              <w:rPr>
                <w:color w:val="000000"/>
                <w:sz w:val="6"/>
                <w:szCs w:val="6"/>
              </w:rPr>
            </w:pPr>
            <w:r w:rsidDel="00000000" w:rsidR="00000000" w:rsidRPr="00000000">
              <w:rPr>
                <w:rtl w:val="0"/>
              </w:rPr>
            </w:r>
          </w:p>
        </w:tc>
      </w:tr>
      <w:tr>
        <w:trPr>
          <w:cantSplit w:val="0"/>
          <w:trHeight w:val="32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numPr>
                      <w:ilvl w:val="0"/>
                      <w:numId w:val="6"/>
                    </w:numPr>
                    <w:pBdr>
                      <w:top w:space="0" w:sz="0" w:val="nil"/>
                      <w:left w:space="0" w:sz="0" w:val="nil"/>
                      <w:bottom w:space="0" w:sz="0" w:val="nil"/>
                      <w:right w:space="0" w:sz="0" w:val="nil"/>
                      <w:between w:space="0" w:sz="0" w:val="nil"/>
                    </w:pBdr>
                    <w:spacing w:line="276"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numPr>
                      <w:ilvl w:val="0"/>
                      <w:numId w:val="6"/>
                    </w:numPr>
                    <w:pBdr>
                      <w:top w:space="0" w:sz="0" w:val="nil"/>
                      <w:left w:space="0" w:sz="0" w:val="nil"/>
                      <w:bottom w:space="0" w:sz="0" w:val="nil"/>
                      <w:right w:space="0" w:sz="0" w:val="nil"/>
                      <w:between w:space="0" w:sz="0" w:val="nil"/>
                    </w:pBdr>
                    <w:spacing w:line="276"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jc w:val="both"/>
                    <w:rPr>
                      <w:color w:val="000000"/>
                      <w:sz w:val="24"/>
                      <w:szCs w:val="24"/>
                      <w:highlight w:val="yellow"/>
                    </w:rPr>
                  </w:pPr>
                  <w:r w:rsidDel="00000000" w:rsidR="00000000" w:rsidRPr="00000000">
                    <w:rPr>
                      <w:rFonts w:ascii="Arial" w:cs="Arial" w:eastAsia="Arial" w:hAnsi="Arial"/>
                      <w:color w:val="000000"/>
                      <w:sz w:val="24"/>
                      <w:szCs w:val="24"/>
                      <w:rtl w:val="0"/>
                    </w:rPr>
                    <w:t xml:space="preserve">    $ 6.828.000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$ 3.414.000</w:t>
                    <w:tab/>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Fonts w:ascii="Arial" w:cs="Arial" w:eastAsia="Arial" w:hAnsi="Arial"/>
                      <w:color w:val="000000"/>
                      <w:sz w:val="24"/>
                      <w:szCs w:val="24"/>
                      <w:rtl w:val="0"/>
                    </w:rPr>
                    <w:t xml:space="preserve">          $ 3.414.000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 $ 0</w:t>
                  </w: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7">
            <w:pPr>
              <w:spacing w:line="276" w:lineRule="auto"/>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A">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D">
            <w:pPr>
              <w:spacing w:line="276"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F">
            <w:pPr>
              <w:spacing w:line="276" w:lineRule="auto"/>
              <w:rPr>
                <w:rFonts w:ascii="Arial" w:cs="Arial" w:eastAsia="Arial" w:hAnsi="Arial"/>
                <w:sz w:val="14"/>
                <w:szCs w:val="14"/>
              </w:rPr>
            </w:pPr>
            <w:r w:rsidDel="00000000" w:rsidR="00000000" w:rsidRPr="00000000">
              <w:rPr>
                <w:rtl w:val="0"/>
              </w:rPr>
            </w:r>
          </w:p>
          <w:p w:rsidR="00000000" w:rsidDel="00000000" w:rsidP="00000000" w:rsidRDefault="00000000" w:rsidRPr="00000000" w14:paraId="00000080">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Planilla:</w:t>
            </w:r>
            <w:r w:rsidDel="00000000" w:rsidR="00000000" w:rsidRPr="00000000">
              <w:rPr>
                <w:rtl w:val="0"/>
              </w:rPr>
              <w:t xml:space="preserve"> </w:t>
            </w:r>
            <w:r w:rsidDel="00000000" w:rsidR="00000000" w:rsidRPr="00000000">
              <w:rPr>
                <w:rFonts w:ascii="Arial" w:cs="Arial" w:eastAsia="Arial" w:hAnsi="Arial"/>
                <w:sz w:val="24"/>
                <w:szCs w:val="24"/>
                <w:rtl w:val="0"/>
              </w:rPr>
              <w:t xml:space="preserve">1077642879</w:t>
            </w:r>
          </w:p>
          <w:p w:rsidR="00000000" w:rsidDel="00000000" w:rsidP="00000000" w:rsidRDefault="00000000" w:rsidRPr="00000000" w14:paraId="00000081">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1972577695</w:t>
            </w:r>
          </w:p>
          <w:p w:rsidR="00000000" w:rsidDel="00000000" w:rsidP="00000000" w:rsidRDefault="00000000" w:rsidRPr="00000000" w14:paraId="00000082">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83">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01/dic/2025</w:t>
            </w:r>
          </w:p>
          <w:p w:rsidR="00000000" w:rsidDel="00000000" w:rsidP="00000000" w:rsidRDefault="00000000" w:rsidRPr="00000000" w14:paraId="00000084">
            <w:pPr>
              <w:spacing w:line="276" w:lineRule="auto"/>
              <w:rPr/>
            </w:pPr>
            <w:r w:rsidDel="00000000" w:rsidR="00000000" w:rsidRPr="00000000">
              <w:rPr>
                <w:rFonts w:ascii="Arial" w:cs="Arial" w:eastAsia="Arial" w:hAnsi="Arial"/>
                <w:sz w:val="24"/>
                <w:szCs w:val="24"/>
                <w:rtl w:val="0"/>
              </w:rPr>
              <w:t xml:space="preserve">Periodo de pago de la seguridad social: noviembre de 2025</w:t>
            </w:r>
            <w:r w:rsidDel="00000000" w:rsidR="00000000" w:rsidRPr="00000000">
              <w:rPr>
                <w:rtl w:val="0"/>
              </w:rPr>
            </w:r>
          </w:p>
        </w:tc>
      </w:tr>
      <w:tr>
        <w:trPr>
          <w:cantSplit w:val="0"/>
          <w:trHeight w:val="56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p>
          <w:p w:rsidR="00000000" w:rsidDel="00000000" w:rsidP="00000000" w:rsidRDefault="00000000" w:rsidRPr="00000000" w14:paraId="0000008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adjunta seguridad social del mes de noviembre de 2025 para el pago de esta cuenta, según decreto 1273 de 23/07/2018 que permite efectuar la cancelación mes vencido de la seguridad social. Se compromete a pagar la seguridad social correspondiente.</w:t>
            </w:r>
          </w:p>
          <w:p w:rsidR="00000000" w:rsidDel="00000000" w:rsidP="00000000" w:rsidRDefault="00000000" w:rsidRPr="00000000" w14:paraId="00000088">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cumplimiento a lo señalado en el artículo 50 de la Ley 789 de 2002 que establece que:</w:t>
            </w:r>
          </w:p>
          <w:p w:rsidR="00000000" w:rsidDel="00000000" w:rsidP="00000000" w:rsidRDefault="00000000" w:rsidRPr="00000000" w14:paraId="0000008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Entidades públicas en el momento de liquidar los contratos deberán verificar y dejar</w:t>
            </w:r>
          </w:p>
          <w:p w:rsidR="00000000" w:rsidDel="00000000" w:rsidP="00000000" w:rsidRDefault="00000000" w:rsidRPr="00000000" w14:paraId="0000008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del cumplimiento de las obligaciones del contratista frente a los aportes mencionados durante toda su vigencia, estableciendo una correcta relación entre el monto</w:t>
            </w:r>
          </w:p>
          <w:p w:rsidR="00000000" w:rsidDel="00000000" w:rsidP="00000000" w:rsidRDefault="00000000" w:rsidRPr="00000000" w14:paraId="0000008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cancelado y las sumas que debieron haber sido cotizadas", y teniendo en cuenta que a la luz</w:t>
            </w:r>
          </w:p>
          <w:p w:rsidR="00000000" w:rsidDel="00000000" w:rsidP="00000000" w:rsidRDefault="00000000" w:rsidRPr="00000000" w14:paraId="0000008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 artículo 60 de la Ley 80 de 1993 la liquidación de los contratos de prestación de servicios</w:t>
            </w:r>
          </w:p>
          <w:p w:rsidR="00000000" w:rsidDel="00000000" w:rsidP="00000000" w:rsidRDefault="00000000" w:rsidRPr="00000000" w14:paraId="0000008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profesionales y de apoyo a la gestión no es obligatoria, el contratista deberá acreditar ante el</w:t>
            </w:r>
          </w:p>
          <w:p w:rsidR="00000000" w:rsidDel="00000000" w:rsidP="00000000" w:rsidRDefault="00000000" w:rsidRPr="00000000" w14:paraId="0000008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Supervisor el pago de los aportes a su seguridad social del mes de diciembre de 2025</w:t>
            </w:r>
          </w:p>
          <w:p w:rsidR="00000000" w:rsidDel="00000000" w:rsidP="00000000" w:rsidRDefault="00000000" w:rsidRPr="00000000" w14:paraId="0000008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remitiendo los correspondientes soportes (planilla de pago de seguridad social diciembre de</w:t>
            </w:r>
          </w:p>
          <w:p w:rsidR="00000000" w:rsidDel="00000000" w:rsidP="00000000" w:rsidRDefault="00000000" w:rsidRPr="00000000" w14:paraId="0000009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2025 y soporte de pago) al correo electrónico institucional del Supervisor con copia al correo</w:t>
            </w:r>
          </w:p>
          <w:p w:rsidR="00000000" w:rsidDel="00000000" w:rsidP="00000000" w:rsidRDefault="00000000" w:rsidRPr="00000000" w14:paraId="0000009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institucional del Organismo (krysthian.ramirez@cali.gov.co), dentro de los cinco (5) días hábiles siguientes al vencimiento del plazo para la autoliquidación y el pago de los aportes al</w:t>
            </w:r>
          </w:p>
          <w:p w:rsidR="00000000" w:rsidDel="00000000" w:rsidP="00000000" w:rsidRDefault="00000000" w:rsidRPr="00000000" w14:paraId="0000009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Seguridad Social Integral, establecido en el Decreto 1990 de 2016, o la disposición</w:t>
            </w:r>
          </w:p>
          <w:p w:rsidR="00000000" w:rsidDel="00000000" w:rsidP="00000000" w:rsidRDefault="00000000" w:rsidRPr="00000000" w14:paraId="00000093">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que la derogue o modifique.</w:t>
            </w:r>
          </w:p>
          <w:p w:rsidR="00000000" w:rsidDel="00000000" w:rsidP="00000000" w:rsidRDefault="00000000" w:rsidRPr="00000000" w14:paraId="0000009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spacing w:line="276" w:lineRule="auto"/>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1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Durante el desarrollo del contrato de prestación de servicios</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No. 4162.010.26.1.5195-2025</w:t>
              <w:tab/>
              <w:t xml:space="preserve">se pudo verificar que la contratista realizó las siguientes actividades en cumplimiento de sus obligaciones y objeto contractual:</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D">
            <w:pPr>
              <w:numPr>
                <w:ilvl w:val="3"/>
                <w:numId w:val="1"/>
              </w:numPr>
              <w:pBdr>
                <w:top w:space="0" w:sz="0" w:val="nil"/>
                <w:left w:space="0" w:sz="0" w:val="nil"/>
                <w:bottom w:space="0" w:sz="0" w:val="nil"/>
                <w:right w:space="0" w:sz="0" w:val="nil"/>
                <w:between w:space="0" w:sz="0" w:val="nil"/>
              </w:pBdr>
              <w:spacing w:line="276" w:lineRule="auto"/>
              <w:ind w:left="4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Brindar apoyo en la elaboración de documentación, registros, informes, planes de mejoramiento, roles y responsabilidades del Sistema de Gestión de Calidad SGC para las líneas de servicio asignadas.  </w:t>
            </w:r>
          </w:p>
          <w:p w:rsidR="00000000" w:rsidDel="00000000" w:rsidP="00000000" w:rsidRDefault="00000000" w:rsidRPr="00000000" w14:paraId="0000009E">
            <w:pPr>
              <w:spacing w:line="276"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F">
            <w:pPr>
              <w:numPr>
                <w:ilvl w:val="1"/>
                <w:numId w:val="4"/>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color w:val="000000"/>
                <w:sz w:val="24"/>
                <w:szCs w:val="24"/>
                <w:rtl w:val="0"/>
              </w:rPr>
              <w:t xml:space="preserve"> en la mesa de trabajo con el equipo del SGC de la SDR para realizar seguimiento y ajustes al formato MEDE01.05.02.P027.F001 - Análisis y Planificación de Cambio como parte de la ejecución de los planes de mejoramiento de la auditoría interna del SGC 2025.</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76" w:lineRule="auto"/>
              <w:ind w:left="77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1">
            <w:pPr>
              <w:numPr>
                <w:ilvl w:val="1"/>
                <w:numId w:val="4"/>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color w:val="000000"/>
                <w:sz w:val="24"/>
                <w:szCs w:val="24"/>
                <w:rtl w:val="0"/>
              </w:rPr>
              <w:t xml:space="preserve"> en el levantamiento de la información correspondiente de los indicadores formulados para cada programa de la Subsecretaría de fomento, incluyendo los valores de meta y de ejecución para los años 2024 y 2025, con el fin de suministrar la entrada de información necesaria para el desarrollo del proceso de elaboración del tablero de indicadores.</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76" w:lineRule="auto"/>
              <w:ind w:left="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numPr>
                <w:ilvl w:val="3"/>
                <w:numId w:val="7"/>
              </w:numPr>
              <w:pBdr>
                <w:top w:space="0" w:sz="0" w:val="nil"/>
                <w:left w:space="0" w:sz="0" w:val="nil"/>
                <w:bottom w:space="0" w:sz="0" w:val="nil"/>
                <w:right w:space="0" w:sz="0" w:val="nil"/>
                <w:between w:space="0" w:sz="0" w:val="nil"/>
              </w:pBdr>
              <w:spacing w:line="276" w:lineRule="auto"/>
              <w:ind w:left="4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Apoyar el aprovechamiento de la infraestructura deportiva por medio de la categorización de los equipamientos deportivos y recreativos, promoviendo espacios seguros, inclusivos y accesibles que contribuyan a la salud y bienestar de la comunidad en el Distrito Especial de Santiago de Cali, mediante la gestión de acciones permanentes de autodiagnóstico, revisiones documentales y evaluaciones a través de visitas en campo, que permitan valorar internamente la gestión y promover la mejora continua de los procesos en las líneas de servicio.  </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p</w:t>
            </w:r>
            <w:r w:rsidDel="00000000" w:rsidR="00000000" w:rsidRPr="00000000">
              <w:rPr>
                <w:rFonts w:ascii="Arial" w:cs="Arial" w:eastAsia="Arial" w:hAnsi="Arial"/>
                <w:color w:val="000000"/>
                <w:sz w:val="24"/>
                <w:szCs w:val="24"/>
                <w:rtl w:val="0"/>
              </w:rPr>
              <w:t xml:space="preserve">articip</w:t>
            </w:r>
            <w:r w:rsidDel="00000000" w:rsidR="00000000" w:rsidRPr="00000000">
              <w:rPr>
                <w:rFonts w:ascii="Arial" w:cs="Arial" w:eastAsia="Arial" w:hAnsi="Arial"/>
                <w:sz w:val="24"/>
                <w:szCs w:val="24"/>
                <w:rtl w:val="0"/>
              </w:rPr>
              <w:t xml:space="preserve">ó</w:t>
            </w:r>
            <w:r w:rsidDel="00000000" w:rsidR="00000000" w:rsidRPr="00000000">
              <w:rPr>
                <w:rFonts w:ascii="Arial" w:cs="Arial" w:eastAsia="Arial" w:hAnsi="Arial"/>
                <w:color w:val="000000"/>
                <w:sz w:val="24"/>
                <w:szCs w:val="24"/>
                <w:rtl w:val="0"/>
              </w:rPr>
              <w:t xml:space="preserve"> de la mesa de trabajo con los coordinadores y líderes responsables del mantenimiento del Sistema de Gestión de Calidad (SGC) en los programas de la Subsecretaría de Fomento, con el propósito de ejecutar la revisión documental conforme a los procedimientos establecidos para cada línea de servicio, alineados con los requisitos ISO 9001:2015 y definir lineamientos precisos para el cierre anual 2025, asegurando la evidencia de las herramientas de control y la ausencia total de documentación pendiente.</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76" w:lineRule="auto"/>
              <w:ind w:left="77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participó en la mesa de trabajo donde se realizó el seguimiento</w:t>
            </w:r>
            <w:r w:rsidDel="00000000" w:rsidR="00000000" w:rsidRPr="00000000">
              <w:rPr>
                <w:rFonts w:ascii="Arial" w:cs="Arial" w:eastAsia="Arial" w:hAnsi="Arial"/>
                <w:color w:val="000000"/>
                <w:sz w:val="24"/>
                <w:szCs w:val="24"/>
                <w:rtl w:val="0"/>
              </w:rPr>
              <w:t xml:space="preserve"> del plan de trabajo del equipo del SGC realizando seguimiento y ajustes a cada una de las actividades programadas para el cumplimiento de los requisitos ligados al cumplimiento de la NTC ISO 9001:2015.</w:t>
            </w:r>
          </w:p>
          <w:p w:rsidR="00000000" w:rsidDel="00000000" w:rsidP="00000000" w:rsidRDefault="00000000" w:rsidRPr="00000000" w14:paraId="000000A8">
            <w:pPr>
              <w:spacing w:line="276"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numPr>
                <w:ilvl w:val="3"/>
                <w:numId w:val="7"/>
              </w:numPr>
              <w:pBdr>
                <w:top w:space="0" w:sz="0" w:val="nil"/>
                <w:left w:space="0" w:sz="0" w:val="nil"/>
                <w:bottom w:space="0" w:sz="0" w:val="nil"/>
                <w:right w:space="0" w:sz="0" w:val="nil"/>
                <w:between w:space="0" w:sz="0" w:val="nil"/>
              </w:pBdr>
              <w:spacing w:line="276" w:lineRule="auto"/>
              <w:ind w:left="4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demás actividades relacionadas con el desarrollo del objeto contractual.</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76" w:lineRule="auto"/>
              <w:ind w:left="41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507"/>
              </w:tabs>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brindó</w:t>
            </w:r>
            <w:r w:rsidDel="00000000" w:rsidR="00000000" w:rsidRPr="00000000">
              <w:rPr>
                <w:rFonts w:ascii="Arial" w:cs="Arial" w:eastAsia="Arial" w:hAnsi="Arial"/>
                <w:color w:val="000000"/>
                <w:sz w:val="24"/>
                <w:szCs w:val="24"/>
                <w:rtl w:val="0"/>
              </w:rPr>
              <w:t xml:space="preserve"> apoyo en la elaboración de la CIRCULAR No. 4162.010.22.2.1020.002184. </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507"/>
              </w:tabs>
              <w:spacing w:line="276"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507"/>
              </w:tabs>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participó</w:t>
            </w:r>
            <w:r w:rsidDel="00000000" w:rsidR="00000000" w:rsidRPr="00000000">
              <w:rPr>
                <w:rFonts w:ascii="Arial" w:cs="Arial" w:eastAsia="Arial" w:hAnsi="Arial"/>
                <w:color w:val="000000"/>
                <w:sz w:val="24"/>
                <w:szCs w:val="24"/>
                <w:rtl w:val="0"/>
              </w:rPr>
              <w:t xml:space="preserve"> en la elaboración de un Objeto Virtual de Aprendizaje (OVA), aportando al proceso de evaluación y construcción de indicadores. Por medio de un taller académico orientado a la actualización y fortalecimiento de los programas, asegurando la evidencia de las herramientas de control.</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507"/>
              </w:tabs>
              <w:spacing w:line="276" w:lineRule="auto"/>
              <w:ind w:left="77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507"/>
              </w:tabs>
              <w:spacing w:line="276" w:lineRule="auto"/>
              <w:ind w:left="776" w:firstLine="0"/>
              <w:jc w:val="both"/>
              <w:rPr>
                <w:rFonts w:ascii="Arial" w:cs="Arial" w:eastAsia="Arial" w:hAnsi="Arial"/>
                <w:color w:val="000000"/>
                <w:sz w:val="24"/>
                <w:szCs w:val="24"/>
              </w:rPr>
            </w:pPr>
            <w:r w:rsidDel="00000000" w:rsidR="00000000" w:rsidRPr="00000000">
              <w:rPr>
                <w:rtl w:val="0"/>
              </w:rPr>
            </w:r>
          </w:p>
          <w:tbl>
            <w:tblPr>
              <w:tblStyle w:val="Table4"/>
              <w:tblW w:w="9950.0" w:type="dxa"/>
              <w:jc w:val="left"/>
              <w:tblBorders>
                <w:top w:color="000000" w:space="0" w:sz="0" w:val="nil"/>
                <w:left w:color="000000" w:space="0" w:sz="0" w:val="nil"/>
                <w:bottom w:color="000000" w:space="0" w:sz="0" w:val="nil"/>
                <w:right w:color="000000" w:space="0" w:sz="0" w:val="nil"/>
              </w:tblBorders>
              <w:tblLayout w:type="fixed"/>
              <w:tblLook w:val="0000"/>
            </w:tblPr>
            <w:tblGrid>
              <w:gridCol w:w="9950"/>
              <w:tblGridChange w:id="0">
                <w:tblGrid>
                  <w:gridCol w:w="9950"/>
                </w:tblGrid>
              </w:tblGridChange>
            </w:tblGrid>
            <w:tr>
              <w:trPr>
                <w:cantSplit w:val="0"/>
                <w:trHeight w:val="1152" w:hRule="atLeast"/>
                <w:tblHeader w:val="0"/>
              </w:trPr>
              <w:tc>
                <w:tcPr/>
                <w:p w:rsidR="00000000" w:rsidDel="00000000" w:rsidP="00000000" w:rsidRDefault="00000000" w:rsidRPr="00000000" w14:paraId="000000B0">
                  <w:pPr>
                    <w:spacing w:line="276" w:lineRule="auto"/>
                    <w:jc w:val="both"/>
                    <w:rPr>
                      <w:rFonts w:ascii="Arial" w:cs="Arial" w:eastAsia="Arial" w:hAnsi="Arial"/>
                      <w:sz w:val="24"/>
                      <w:szCs w:val="24"/>
                    </w:rPr>
                  </w:pPr>
                  <w:bookmarkStart w:colFirst="0" w:colLast="0" w:name="_heading=h.99ug0y97if7p" w:id="0"/>
                  <w:bookmarkEnd w:id="0"/>
                  <w:r w:rsidDel="00000000" w:rsidR="00000000" w:rsidRPr="00000000">
                    <w:rPr>
                      <w:rtl w:val="0"/>
                    </w:rPr>
                  </w:r>
                </w:p>
                <w:p w:rsidR="00000000" w:rsidDel="00000000" w:rsidP="00000000" w:rsidRDefault="00000000" w:rsidRPr="00000000" w14:paraId="000000B1">
                  <w:pPr>
                    <w:spacing w:line="276" w:lineRule="auto"/>
                    <w:jc w:val="both"/>
                    <w:rPr>
                      <w:rFonts w:ascii="Arial" w:cs="Arial" w:eastAsia="Arial" w:hAnsi="Arial"/>
                      <w:sz w:val="24"/>
                      <w:szCs w:val="24"/>
                    </w:rPr>
                  </w:pPr>
                  <w:bookmarkStart w:colFirst="0" w:colLast="0" w:name="_heading=h.hyjz3zgyx9uq" w:id="1"/>
                  <w:bookmarkEnd w:id="1"/>
                  <w:r w:rsidDel="00000000" w:rsidR="00000000" w:rsidRPr="00000000">
                    <w:rPr>
                      <w:rtl w:val="0"/>
                    </w:rPr>
                  </w:r>
                </w:p>
                <w:p w:rsidR="00000000" w:rsidDel="00000000" w:rsidP="00000000" w:rsidRDefault="00000000" w:rsidRPr="00000000" w14:paraId="000000B2">
                  <w:pPr>
                    <w:spacing w:line="276" w:lineRule="auto"/>
                    <w:jc w:val="both"/>
                    <w:rPr>
                      <w:rFonts w:ascii="Arial" w:cs="Arial" w:eastAsia="Arial" w:hAnsi="Arial"/>
                      <w:sz w:val="24"/>
                      <w:szCs w:val="24"/>
                    </w:rPr>
                  </w:pPr>
                  <w:bookmarkStart w:colFirst="0" w:colLast="0" w:name="_heading=h.lfi7jwqj3ptu" w:id="2"/>
                  <w:bookmarkEnd w:id="2"/>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76" w:lineRule="auto"/>
                    <w:ind w:left="41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line="276" w:lineRule="auto"/>
                    <w:ind w:left="416" w:firstLine="0"/>
                    <w:jc w:val="both"/>
                    <w:rPr>
                      <w:rFonts w:ascii="Arial" w:cs="Arial" w:eastAsia="Arial" w:hAnsi="Arial"/>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https://drive.google.com/drive/folders/1ohicRHiAAri196ZzxQSKArTrAX_Z24cQ</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B5">
                  <w:pPr>
                    <w:spacing w:line="276" w:lineRule="auto"/>
                    <w:jc w:val="both"/>
                    <w:rPr>
                      <w:rFonts w:ascii="Arial" w:cs="Arial" w:eastAsia="Arial" w:hAnsi="Arial"/>
                      <w:color w:val="0000ff"/>
                      <w:sz w:val="24"/>
                      <w:szCs w:val="24"/>
                      <w:highlight w:val="yellow"/>
                      <w:u w:val="single"/>
                    </w:rPr>
                  </w:pPr>
                  <w:r w:rsidDel="00000000" w:rsidR="00000000" w:rsidRPr="00000000">
                    <w:rPr>
                      <w:rtl w:val="0"/>
                    </w:rPr>
                  </w:r>
                </w:p>
              </w:tc>
            </w:tr>
          </w:tbl>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highlight w:val="yellow"/>
              </w:rPr>
            </w:pPr>
            <w:r w:rsidDel="00000000" w:rsidR="00000000" w:rsidRPr="00000000">
              <w:rPr>
                <w:rtl w:val="0"/>
              </w:rPr>
            </w:r>
          </w:p>
        </w:tc>
      </w:tr>
      <w:tr>
        <w:trPr>
          <w:cantSplit w:val="1"/>
          <w:trHeight w:val="43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 la firma del presente informe se deja constancia del</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por parte de la ALCALDÍA DE SANTIAGO DE CALI – SECRETARÍA DEL DEPORTE Y LA RECREACIÓN de los servicios prestados pactados en el contrato No. 4162.010.26.1.5195-2025.</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tc>
      </w:tr>
      <w:tr>
        <w:trPr>
          <w:cantSplit w:val="1"/>
          <w:trHeight w:val="4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a la fecha del presente informe no posee a su cargo elementos devolutivos de propiedad de la ALCALDÍA DE SANTIAGO DE CALI -SECRETARÍA DEL DEPORTE Y LA RECREACIÓN,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tc>
      </w:tr>
      <w:tr>
        <w:trPr>
          <w:cantSplit w:val="1"/>
          <w:trHeight w:val="7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hace entrega del informe de gestión de este contrato del Backup.</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spacing w:line="276" w:lineRule="auto"/>
              <w:rPr>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0">
            <w:pPr>
              <w:numPr>
                <w:ilvl w:val="0"/>
                <w:numId w:val="5"/>
              </w:numPr>
              <w:pBdr>
                <w:top w:space="0" w:sz="0" w:val="nil"/>
                <w:left w:space="0" w:sz="0" w:val="nil"/>
                <w:bottom w:space="0" w:sz="0" w:val="nil"/>
                <w:right w:space="0" w:sz="0" w:val="nil"/>
                <w:between w:space="0" w:sz="0" w:val="nil"/>
              </w:pBdr>
              <w:spacing w:line="276" w:lineRule="auto"/>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76" w:lineRule="auto"/>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4"/>
                <w:szCs w:val="4"/>
              </w:rPr>
            </w:pPr>
            <w:r w:rsidDel="00000000" w:rsidR="00000000" w:rsidRPr="00000000">
              <w:rPr>
                <w:rtl w:val="0"/>
              </w:rPr>
            </w:r>
          </w:p>
        </w:tc>
      </w:tr>
      <w:tr>
        <w:trPr>
          <w:cantSplit w:val="1"/>
          <w:trHeight w:val="53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4"/>
                <w:szCs w:val="4"/>
              </w:rPr>
            </w:pPr>
            <w:r w:rsidDel="00000000" w:rsidR="00000000" w:rsidRPr="00000000">
              <w:rPr>
                <w:rtl w:val="0"/>
              </w:rPr>
            </w:r>
          </w:p>
          <w:tbl>
            <w:tblPr>
              <w:tblStyle w:val="Table5"/>
              <w:tblW w:w="9992.0" w:type="dxa"/>
              <w:jc w:val="left"/>
              <w:tblBorders>
                <w:top w:color="000000" w:space="0" w:sz="0" w:val="nil"/>
                <w:left w:color="000000" w:space="0" w:sz="0" w:val="nil"/>
                <w:bottom w:color="000000" w:space="0" w:sz="0" w:val="nil"/>
                <w:right w:color="000000" w:space="0" w:sz="0" w:val="nil"/>
              </w:tblBorders>
              <w:tblLayout w:type="fixed"/>
              <w:tblLook w:val="0000"/>
            </w:tblPr>
            <w:tblGrid>
              <w:gridCol w:w="9992"/>
              <w:tblGridChange w:id="0">
                <w:tblGrid>
                  <w:gridCol w:w="9992"/>
                </w:tblGrid>
              </w:tblGridChange>
            </w:tblGrid>
            <w:tr>
              <w:trPr>
                <w:cantSplit w:val="0"/>
                <w:trHeight w:val="256" w:hRule="atLeast"/>
                <w:tblHeader w:val="0"/>
              </w:trPr>
              <w:tc>
                <w:tcPr/>
                <w:p w:rsidR="00000000" w:rsidDel="00000000" w:rsidP="00000000" w:rsidRDefault="00000000" w:rsidRPr="00000000" w14:paraId="000000D6">
                  <w:pP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 recomendaciones para el presente período</w:t>
                  </w:r>
                </w:p>
                <w:p w:rsidR="00000000" w:rsidDel="00000000" w:rsidP="00000000" w:rsidRDefault="00000000" w:rsidRPr="00000000" w14:paraId="000000D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spacing w:line="276" w:lineRule="auto"/>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pacing w:line="276" w:lineRule="auto"/>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Ramírez Munevar </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78"/>
                <w:tab w:val="left" w:leader="none" w:pos="6375"/>
              </w:tabs>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19/dic/2025.</w:t>
            </w:r>
          </w:p>
        </w:tc>
      </w:tr>
    </w:tbl>
    <w:p w:rsidR="00000000" w:rsidDel="00000000" w:rsidP="00000000" w:rsidRDefault="00000000" w:rsidRPr="00000000" w14:paraId="000000F1">
      <w:pPr>
        <w:tabs>
          <w:tab w:val="left" w:leader="none" w:pos="7005"/>
        </w:tabs>
        <w:spacing w:line="276" w:lineRule="auto"/>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6"/>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2"/>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rFonts w:ascii="Arial" w:cs="Arial" w:eastAsia="Arial" w:hAnsi="Arial"/>
        <w:sz w:val="24"/>
        <w:szCs w:val="24"/>
      </w:rPr>
    </w:lvl>
    <w:lvl w:ilvl="2">
      <w:start w:val="1"/>
      <w:numFmt w:val="lowerRoman"/>
      <w:lvlText w:val="%3."/>
      <w:lvlJc w:val="right"/>
      <w:pPr>
        <w:ind w:left="2880" w:hanging="180"/>
      </w:pPr>
      <w:rPr/>
    </w:lvl>
    <w:lvl w:ilvl="3">
      <w:start w:val="2"/>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8"/>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2"/>
      <w:numFmt w:val="decimal"/>
      <w:lvlText w:val="%4."/>
      <w:lvlJc w:val="left"/>
      <w:pPr>
        <w:ind w:left="644" w:hanging="359.99999999999994"/>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link w:val="PrrafodelistaCar"/>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542133"/>
    <w:pPr>
      <w:widowControl w:val="0"/>
      <w:autoSpaceDE w:val="0"/>
    </w:pPr>
    <w:rPr>
      <w:rFonts w:ascii="Arial" w:cs="Arial" w:eastAsia="Arial" w:hAnsi="Arial"/>
      <w:sz w:val="22"/>
      <w:szCs w:val="22"/>
      <w:lang w:eastAsia="en-US"/>
    </w:rPr>
  </w:style>
  <w:style w:type="paragraph" w:styleId="Default" w:customStyle="1">
    <w:name w:val="Default"/>
    <w:rsid w:val="00542133"/>
    <w:pPr>
      <w:autoSpaceDE w:val="0"/>
      <w:adjustRightInd w:val="0"/>
    </w:pPr>
    <w:rPr>
      <w:rFonts w:ascii="Arial" w:cs="Arial" w:hAnsi="Arial" w:eastAsiaTheme="minorHAnsi"/>
      <w:color w:val="000000"/>
      <w:sz w:val="24"/>
      <w:szCs w:val="24"/>
      <w:lang w:eastAsia="en-US"/>
    </w:rPr>
  </w:style>
  <w:style w:type="character" w:styleId="Mencinsinresolver">
    <w:name w:val="Unresolved Mention"/>
    <w:basedOn w:val="Fuentedeprrafopredeter"/>
    <w:uiPriority w:val="99"/>
    <w:semiHidden w:val="1"/>
    <w:unhideWhenUsed w:val="1"/>
    <w:rsid w:val="00656585"/>
    <w:rPr>
      <w:color w:val="605e5c"/>
      <w:shd w:color="auto" w:fill="e1dfdd" w:val="clear"/>
    </w:rPr>
  </w:style>
  <w:style w:type="character" w:styleId="Hipervnculovisitado">
    <w:name w:val="FollowedHyperlink"/>
    <w:basedOn w:val="Fuentedeprrafopredeter"/>
    <w:uiPriority w:val="99"/>
    <w:semiHidden w:val="1"/>
    <w:unhideWhenUsed w:val="1"/>
    <w:rsid w:val="00CC5365"/>
    <w:rPr>
      <w:color w:val="954f72" w:themeColor="followedHyperlink"/>
      <w:u w:val="single"/>
    </w:rPr>
  </w:style>
  <w:style w:type="table" w:styleId="a" w:customStyle="1">
    <w:basedOn w:val="TableNormal0"/>
    <w:tblPr>
      <w:tblStyleRowBandSize w:val="1"/>
      <w:tblStyleColBandSize w:val="1"/>
      <w:tblCellMar>
        <w:left w:w="10.0" w:type="dxa"/>
        <w:right w:w="10.0" w:type="dxa"/>
      </w:tblCellMar>
    </w:tblPr>
  </w:style>
  <w:style w:type="table" w:styleId="a0" w:customStyle="1">
    <w:basedOn w:val="TableNormal0"/>
    <w:tblPr>
      <w:tblStyleRowBandSize w:val="1"/>
      <w:tblStyleColBandSize w:val="1"/>
      <w:tblCellMar>
        <w:left w:w="10.0" w:type="dxa"/>
        <w:right w:w="10.0" w:type="dxa"/>
      </w:tblCellMar>
    </w:tblPr>
  </w:style>
  <w:style w:type="table" w:styleId="a1" w:customStyle="1">
    <w:basedOn w:val="TableNormal0"/>
    <w:tblPr>
      <w:tblStyleRowBandSize w:val="1"/>
      <w:tblStyleColBandSize w:val="1"/>
      <w:tblCellMar>
        <w:left w:w="10.0" w:type="dxa"/>
        <w:right w:w="10.0" w:type="dxa"/>
      </w:tblCellMar>
    </w:tblPr>
  </w:style>
  <w:style w:type="table" w:styleId="a2" w:customStyle="1">
    <w:basedOn w:val="TableNormal0"/>
    <w:tblPr>
      <w:tblStyleRowBandSize w:val="1"/>
      <w:tblStyleColBandSize w:val="1"/>
      <w:tblCellMar>
        <w:left w:w="115.0" w:type="dxa"/>
        <w:right w:w="115.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0.0" w:type="dxa"/>
        <w:right w:w="10.0" w:type="dxa"/>
      </w:tblCellMar>
    </w:tblPr>
  </w:style>
  <w:style w:type="character" w:styleId="PrrafodelistaCar" w:customStyle="1">
    <w:name w:val="Párrafo de lista Car"/>
    <w:link w:val="Prrafodelista"/>
    <w:uiPriority w:val="1"/>
    <w:locked w:val="1"/>
    <w:rsid w:val="008864A2"/>
  </w:style>
  <w:style w:type="table" w:styleId="a5" w:customStyle="1">
    <w:basedOn w:val="TableNormal0"/>
    <w:tblPr>
      <w:tblStyleRowBandSize w:val="1"/>
      <w:tblStyleColBandSize w:val="1"/>
      <w:tblCellMar>
        <w:left w:w="10.0" w:type="dxa"/>
        <w:right w:w="10.0" w:type="dxa"/>
      </w:tblCellMar>
    </w:tblPr>
  </w:style>
  <w:style w:type="table" w:styleId="a6" w:customStyle="1">
    <w:basedOn w:val="TableNormal0"/>
    <w:tblPr>
      <w:tblStyleRowBandSize w:val="1"/>
      <w:tblStyleColBandSize w:val="1"/>
      <w:tblCellMar>
        <w:left w:w="10.0" w:type="dxa"/>
        <w:right w:w="10.0" w:type="dxa"/>
      </w:tblCellMar>
    </w:tblPr>
  </w:style>
  <w:style w:type="table" w:styleId="a7" w:customStyle="1">
    <w:basedOn w:val="TableNormal0"/>
    <w:tblPr>
      <w:tblStyleRowBandSize w:val="1"/>
      <w:tblStyleColBandSize w:val="1"/>
      <w:tblCellMar>
        <w:left w:w="10.0" w:type="dxa"/>
        <w:right w:w="10.0" w:type="dxa"/>
      </w:tblCellMar>
    </w:tblPr>
  </w:style>
  <w:style w:type="table" w:styleId="a8" w:customStyle="1">
    <w:basedOn w:val="TableNormal0"/>
    <w:tblPr>
      <w:tblStyleRowBandSize w:val="1"/>
      <w:tblStyleColBandSize w:val="1"/>
      <w:tblCellMar>
        <w:left w:w="115.0" w:type="dxa"/>
        <w:right w:w="115.0" w:type="dxa"/>
      </w:tblCellMar>
    </w:tblPr>
  </w:style>
  <w:style w:type="table" w:styleId="a9" w:customStyle="1">
    <w:basedOn w:val="TableNormal0"/>
    <w:tblPr>
      <w:tblStyleRowBandSize w:val="1"/>
      <w:tblStyleColBandSize w:val="1"/>
      <w:tblCellMar>
        <w:left w:w="115.0" w:type="dxa"/>
        <w:right w:w="115.0" w:type="dxa"/>
      </w:tblCellMar>
    </w:tblPr>
  </w:style>
  <w:style w:type="table" w:styleId="aa" w:customStyle="1">
    <w:basedOn w:val="TableNormal0"/>
    <w:tblPr>
      <w:tblStyleRowBandSize w:val="1"/>
      <w:tblStyleColBandSize w:val="1"/>
      <w:tblCellMar>
        <w:left w:w="10.0" w:type="dxa"/>
        <w:right w:w="10.0" w:type="dxa"/>
      </w:tblCellMar>
    </w:tblPr>
  </w:style>
  <w:style w:type="paragraph" w:styleId="NormalWeb">
    <w:name w:val="Normal (Web)"/>
    <w:basedOn w:val="Normal"/>
    <w:uiPriority w:val="99"/>
    <w:semiHidden w:val="1"/>
    <w:unhideWhenUsed w:val="1"/>
    <w:rsid w:val="00FF0A5E"/>
    <w:pPr>
      <w:spacing w:after="100" w:afterAutospacing="1" w:before="100" w:beforeAutospacing="1"/>
    </w:pPr>
    <w:rPr>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ohicRHiAAri196ZzxQSKArTrAX_Z24c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E7tyTRIQ7CUaFmbwvmgA3TdyaQ==">CgMxLjAyDmguOTl1ZzB5OTdpZjdwMg5oLmh5anozemd5eDl1cTIOaC5sZmk3andxajNwdHU4AHIhMXprTmlqY2toVDQ2YU9qYnMzVDVUOFNiREFPOF9fV1By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2025-07-22T01:02:00Z</dcterms:created>
  <dc:creator>LEYDHER</dc:creator>
</cp:coreProperties>
</file>